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55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143DDCC5"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评分标准</w:t>
      </w:r>
      <w:r>
        <w:rPr>
          <w:rFonts w:hint="eastAsia"/>
          <w:b/>
          <w:sz w:val="36"/>
          <w:szCs w:val="36"/>
          <w:lang w:val="en-US" w:eastAsia="zh-CN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54" w:tblpY="192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88"/>
        <w:gridCol w:w="744"/>
        <w:gridCol w:w="6540"/>
        <w:gridCol w:w="936"/>
      </w:tblGrid>
      <w:tr w14:paraId="021C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36" w:type="dxa"/>
            <w:gridSpan w:val="2"/>
            <w:shd w:val="clear" w:color="auto" w:fill="auto"/>
            <w:noWrap w:val="0"/>
            <w:vAlign w:val="center"/>
          </w:tcPr>
          <w:p w14:paraId="357885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审  因  素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2AEC71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090647C6">
            <w:pPr>
              <w:ind w:firstLine="1536" w:firstLineChars="8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   分     细     则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3977EE2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评分</w:t>
            </w:r>
          </w:p>
        </w:tc>
      </w:tr>
      <w:tr w14:paraId="746B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6" w:type="dxa"/>
            <w:gridSpan w:val="2"/>
            <w:shd w:val="clear" w:color="auto" w:fill="auto"/>
            <w:noWrap w:val="0"/>
            <w:vAlign w:val="center"/>
          </w:tcPr>
          <w:p w14:paraId="4E213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 标 报 价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12273E4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78EDAC08">
            <w:pPr>
              <w:ind w:left="-2" w:leftChars="-1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满足招标文件要求且投标价格最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低</w:t>
            </w:r>
            <w:r>
              <w:rPr>
                <w:sz w:val="18"/>
                <w:szCs w:val="18"/>
              </w:rPr>
              <w:t>的投标报价为评标基准价，其价格分为总分值，其他投标人的价格分按以下公示计算：</w:t>
            </w:r>
          </w:p>
          <w:p w14:paraId="7618C05F">
            <w:pPr>
              <w:ind w:left="-2" w:leftChars="-1" w:firstLine="361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投标报价得分＝〔评标基准价/投标报价〕×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16AB2CE">
            <w:pPr>
              <w:ind w:left="-2" w:leftChars="-1" w:firstLine="361" w:firstLineChars="200"/>
              <w:rPr>
                <w:b/>
                <w:sz w:val="18"/>
                <w:szCs w:val="18"/>
              </w:rPr>
            </w:pPr>
          </w:p>
        </w:tc>
      </w:tr>
      <w:tr w14:paraId="6369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445806D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 术 方 案、技 术 指 标、设 备 质 量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285F2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产品技术参数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502A8EE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20DFB3F8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设备档次、相关技术指标与国家及行业指标符合。指标参数应等于或高于标书要求。数据准确齐全</w:t>
            </w:r>
            <w:r>
              <w:rPr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color w:val="000000"/>
                <w:sz w:val="18"/>
                <w:szCs w:val="18"/>
              </w:rPr>
              <w:t>合理、清楚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产品的先进性、可靠性、稳定性进行综合评价。</w:t>
            </w:r>
            <w:r>
              <w:rPr>
                <w:sz w:val="18"/>
                <w:szCs w:val="18"/>
              </w:rPr>
              <w:t>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sz w:val="18"/>
                <w:szCs w:val="18"/>
              </w:rPr>
              <w:t>优8—10分；总体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sz w:val="18"/>
                <w:szCs w:val="18"/>
              </w:rPr>
              <w:t>良5—7分；总体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sz w:val="18"/>
                <w:szCs w:val="18"/>
              </w:rPr>
              <w:t>差1—3分。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D003133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6425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10CED7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534AEE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产品适用性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6828619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5FE25EB4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产品质量优异，相关报告齐全，样品提供准确，以往用户使用无不良记录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产品相关性能符合医院需求，产品尺寸及所需场地符合要求</w:t>
            </w:r>
            <w:r>
              <w:rPr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适用性</w:t>
            </w:r>
            <w:r>
              <w:rPr>
                <w:sz w:val="18"/>
                <w:szCs w:val="18"/>
              </w:rPr>
              <w:t>优8—10分；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适用性</w:t>
            </w:r>
            <w:r>
              <w:rPr>
                <w:sz w:val="18"/>
                <w:szCs w:val="18"/>
              </w:rPr>
              <w:t>良5—7分；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适用性</w:t>
            </w:r>
            <w:r>
              <w:rPr>
                <w:sz w:val="18"/>
                <w:szCs w:val="18"/>
              </w:rPr>
              <w:t>差1—3分。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70936E8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556A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50FCF9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1F78FC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产品成熟度与通用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4AC61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5251D03B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能确保用户现有设备投资以及整个系统的兼容性。及以后扩展的要求。无专利或其他特殊技术指标限制。经济实用。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市场应用广泛</w:t>
            </w:r>
            <w:r>
              <w:rPr>
                <w:sz w:val="18"/>
                <w:szCs w:val="18"/>
              </w:rPr>
              <w:t>优8—10分；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新产品市场应用少</w:t>
            </w:r>
            <w:r>
              <w:rPr>
                <w:sz w:val="18"/>
                <w:szCs w:val="18"/>
              </w:rPr>
              <w:t>良5—7分；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落后或存在争议产品</w:t>
            </w:r>
            <w:r>
              <w:rPr>
                <w:sz w:val="18"/>
                <w:szCs w:val="18"/>
              </w:rPr>
              <w:t>差1—3分。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D732747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566C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5621A4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27BD7FA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技术保障能力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7909E1E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47DD56AA">
            <w:pPr>
              <w:ind w:firstLine="360" w:firstLineChars="200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安装技术人员配备情况，技术经理的能力与经验。安装组织计划的可行性，工期和技术设备的先进性。</w:t>
            </w:r>
            <w:r>
              <w:rPr>
                <w:bCs/>
                <w:color w:val="000000"/>
                <w:sz w:val="18"/>
                <w:szCs w:val="18"/>
              </w:rPr>
              <w:t>要求顺利实施为依据进行综合评分。</w:t>
            </w:r>
          </w:p>
          <w:p w14:paraId="67379C9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方案科学合理得</w:t>
            </w:r>
            <w:r>
              <w:rPr>
                <w:sz w:val="18"/>
                <w:szCs w:val="18"/>
              </w:rPr>
              <w:t>4—5分；</w:t>
            </w:r>
            <w:r>
              <w:rPr>
                <w:bCs/>
                <w:color w:val="000000"/>
                <w:sz w:val="18"/>
                <w:szCs w:val="18"/>
              </w:rPr>
              <w:t>方案一般可行得</w:t>
            </w:r>
            <w:r>
              <w:rPr>
                <w:sz w:val="18"/>
                <w:szCs w:val="18"/>
              </w:rPr>
              <w:t>3—4分；</w:t>
            </w:r>
            <w:r>
              <w:rPr>
                <w:bCs/>
                <w:color w:val="000000"/>
                <w:sz w:val="18"/>
                <w:szCs w:val="18"/>
              </w:rPr>
              <w:t>方案较差得</w:t>
            </w:r>
            <w:r>
              <w:rPr>
                <w:sz w:val="18"/>
                <w:szCs w:val="18"/>
              </w:rPr>
              <w:t>1—2分。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0CBB33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14:paraId="599B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3F07EEE5">
            <w:pPr>
              <w:ind w:left="113" w:leftChars="54" w:right="113"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售  后  服  务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15F1D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保修期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7CFC5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1E6850FE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满足招标文件要求得1分。每延长一年加2分，最多加4分。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16C7F98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44A0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121070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5398A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效劳承诺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03766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62FCBC41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依据投标人提供的对产品故障报修的响应时间、处理速度、定期巡检以及技术支持、软件升级、技术培训等效劳承诺酌情评分。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EDCFD0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0B2E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2662F7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05CA419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性价比评价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597AB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70DF7812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依据保修期结束后维修价格、配件及耗材价格等效劳收费以及提供的优惠情况酌情评分。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F912C5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4B82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0D8223C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     他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CAA8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信   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0F3F9E2C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705715F1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投标人提供的信用评估机构出具的信用评估汇报为AAA级及以上得3分，AA级得2分，A级得1分。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76F4C6E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40E2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8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1A33B2E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25CBBFD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供货能力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025987E2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5B762422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签约后15个工作日供货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1个月内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3-4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大于1个月</w:t>
            </w:r>
            <w:r>
              <w:rPr>
                <w:sz w:val="18"/>
                <w:szCs w:val="18"/>
              </w:rPr>
              <w:t>得1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ADA8DCE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02E9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836" w:type="dxa"/>
            <w:gridSpan w:val="2"/>
            <w:shd w:val="clear" w:color="auto" w:fill="auto"/>
            <w:noWrap w:val="0"/>
            <w:vAlign w:val="center"/>
          </w:tcPr>
          <w:p w14:paraId="4882F9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        计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5D972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540" w:type="dxa"/>
            <w:shd w:val="clear" w:color="auto" w:fill="auto"/>
            <w:noWrap w:val="0"/>
            <w:vAlign w:val="center"/>
          </w:tcPr>
          <w:p w14:paraId="366EDA5E">
            <w:pPr>
              <w:tabs>
                <w:tab w:val="left" w:pos="945"/>
              </w:tabs>
              <w:ind w:firstLine="361" w:firstLineChars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投标人最后得分保存两位小数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FABFD3B">
            <w:pPr>
              <w:tabs>
                <w:tab w:val="left" w:pos="945"/>
              </w:tabs>
              <w:ind w:firstLine="361" w:firstLineChars="200"/>
              <w:rPr>
                <w:b/>
                <w:sz w:val="18"/>
                <w:szCs w:val="18"/>
              </w:rPr>
            </w:pPr>
          </w:p>
        </w:tc>
      </w:tr>
    </w:tbl>
    <w:p w14:paraId="2331C2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TMyZGM0Zjk0N2JhODg1ZjljOGEyNGQwZDlkMGUifQ=="/>
    <w:docVar w:name="KSO_WPS_MARK_KEY" w:val="51544156-44bf-43a1-b6f4-cc2b91d58083"/>
  </w:docVars>
  <w:rsids>
    <w:rsidRoot w:val="02973B47"/>
    <w:rsid w:val="02973B47"/>
    <w:rsid w:val="068C5C42"/>
    <w:rsid w:val="14DD234B"/>
    <w:rsid w:val="31103AFB"/>
    <w:rsid w:val="3F7C7A3F"/>
    <w:rsid w:val="406D5BC1"/>
    <w:rsid w:val="5A766616"/>
    <w:rsid w:val="7E2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785</Characters>
  <Lines>0</Lines>
  <Paragraphs>0</Paragraphs>
  <TotalTime>18</TotalTime>
  <ScaleCrop>false</ScaleCrop>
  <LinksUpToDate>false</LinksUpToDate>
  <CharactersWithSpaces>840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2024-11-11T00:41:00Z</dcterms:created>
  <dc:creator>林志雄</dc:creator>
  <cp:lastModifiedBy>强</cp:lastModifiedBy>
  <dcterms:modified xsi:type="dcterms:W3CDTF">2024-12-06T08:59:47Z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A6E729E4D96B4F05B1D8E3B28C78FF02_13</vt:lpwstr>
  </property>
</Properties>
</file>